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B936C1" w:rsidRPr="006D27BE" w:rsidP="00F27891" w14:paraId="58335A12" w14:textId="77777777">
      <w:pPr>
        <w:jc w:val="center"/>
        <w:rPr>
          <w:b/>
        </w:rPr>
      </w:pPr>
      <w:r>
        <w:rPr>
          <w:b/>
        </w:rPr>
        <w:t xml:space="preserve">Update on </w:t>
      </w:r>
      <w:r w:rsidRPr="006D27BE" w:rsidR="001322AE">
        <w:rPr>
          <w:b/>
        </w:rPr>
        <w:t xml:space="preserve">Innovation </w:t>
      </w:r>
      <w:r>
        <w:rPr>
          <w:b/>
        </w:rPr>
        <w:t>Landscape</w:t>
      </w:r>
      <w:r w:rsidR="00C30682">
        <w:rPr>
          <w:b/>
        </w:rPr>
        <w:t xml:space="preserve"> and Strategy</w:t>
      </w:r>
    </w:p>
    <w:p w:rsidR="001322AE" w:rsidRPr="006D27BE" w14:paraId="45134B91" w14:textId="77777777">
      <w:pPr>
        <w:rPr>
          <w:b/>
        </w:rPr>
      </w:pPr>
      <w:r w:rsidRPr="006D27BE">
        <w:rPr>
          <w:b/>
        </w:rPr>
        <w:t>Introduction</w:t>
      </w:r>
    </w:p>
    <w:p w:rsidR="001322AE" w14:paraId="1046CA27" w14:textId="77777777">
      <w:r>
        <w:t xml:space="preserve">The announcement of the UK Innovation Strategy in the last few weeks alongside the policy focus on levelling-up and </w:t>
      </w:r>
      <w:r w:rsidR="00F27891">
        <w:t xml:space="preserve">the need for </w:t>
      </w:r>
      <w:r>
        <w:t xml:space="preserve">growth </w:t>
      </w:r>
      <w:r w:rsidR="00F27891">
        <w:t xml:space="preserve">in the wake of Covid, </w:t>
      </w:r>
      <w:r>
        <w:t xml:space="preserve">sets the course for the governments direction </w:t>
      </w:r>
      <w:r w:rsidR="00F27891">
        <w:t xml:space="preserve">on innovation </w:t>
      </w:r>
      <w:r>
        <w:t xml:space="preserve">and effectively replaces the previous </w:t>
      </w:r>
      <w:r>
        <w:t>National Industrial Strategy</w:t>
      </w:r>
      <w:r w:rsidR="00F27891">
        <w:t>.</w:t>
      </w:r>
      <w:r w:rsidR="00C30682">
        <w:t xml:space="preserve"> This paper sets out the key elements of </w:t>
      </w:r>
      <w:r w:rsidR="0018304B">
        <w:t>our</w:t>
      </w:r>
      <w:r w:rsidR="00724F73">
        <w:t xml:space="preserve"> local</w:t>
      </w:r>
      <w:r w:rsidR="0018304B">
        <w:t xml:space="preserve"> plans to date and </w:t>
      </w:r>
      <w:r w:rsidR="00FB661E">
        <w:t xml:space="preserve">the alignment issues </w:t>
      </w:r>
      <w:r w:rsidR="00724F73">
        <w:t xml:space="preserve">with national thinking </w:t>
      </w:r>
      <w:r w:rsidR="00FB661E">
        <w:t>requiring consideration.</w:t>
      </w:r>
    </w:p>
    <w:p w:rsidR="001322AE" w:rsidRPr="006D27BE" w14:paraId="06C5F0CB" w14:textId="77777777">
      <w:pPr>
        <w:rPr>
          <w:b/>
        </w:rPr>
      </w:pPr>
      <w:r w:rsidRPr="006D27BE">
        <w:rPr>
          <w:b/>
        </w:rPr>
        <w:t>Background</w:t>
      </w:r>
    </w:p>
    <w:p w:rsidR="001322AE" w14:paraId="72B35F2E" w14:textId="77777777">
      <w:r>
        <w:t xml:space="preserve">The current </w:t>
      </w:r>
      <w:r w:rsidRPr="0045002C">
        <w:rPr>
          <w:b/>
        </w:rPr>
        <w:t>Lancashire Innovation Plan</w:t>
      </w:r>
      <w:r>
        <w:t xml:space="preserve"> was developed in 2017 to align with the</w:t>
      </w:r>
      <w:r>
        <w:t xml:space="preserve"> previous governments emerging National Industrial Strategy with a strong emphasis on innovation as a driver of productivity</w:t>
      </w:r>
      <w:r w:rsidR="00461ED8">
        <w:t>,</w:t>
      </w:r>
      <w:r w:rsidR="0073203F">
        <w:t xml:space="preserve"> noting</w:t>
      </w:r>
      <w:r>
        <w:t xml:space="preserve"> </w:t>
      </w:r>
      <w:r w:rsidR="0073203F">
        <w:t xml:space="preserve">both </w:t>
      </w:r>
      <w:r>
        <w:t>the region and count</w:t>
      </w:r>
      <w:r w:rsidR="00EA52F5">
        <w:t>y lagging behind in productivity</w:t>
      </w:r>
      <w:r>
        <w:t>.</w:t>
      </w:r>
    </w:p>
    <w:p w:rsidR="001322AE" w14:paraId="665753D5" w14:textId="77777777">
      <w:r>
        <w:t>It provided a route map for innovation and the evidence base for</w:t>
      </w:r>
      <w:r>
        <w:t xml:space="preserve"> five strategic aims with the objective to set a direction of travel </w:t>
      </w:r>
      <w:r w:rsidR="00EF16BF">
        <w:t xml:space="preserve">with a strong </w:t>
      </w:r>
      <w:r>
        <w:t xml:space="preserve">partnership approach </w:t>
      </w:r>
      <w:r w:rsidR="00EF16BF">
        <w:t>and an</w:t>
      </w:r>
      <w:r>
        <w:t xml:space="preserve"> Innovation Board.</w:t>
      </w:r>
    </w:p>
    <w:p w:rsidR="006C3A19" w14:paraId="3F37F06A" w14:textId="777777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739140</wp:posOffset>
                </wp:positionV>
                <wp:extent cx="6153150" cy="3390900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E2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93314" cy="3237865"/>
                                  <wp:effectExtent l="0" t="0" r="7620" b="635"/>
                                  <wp:docPr id="95757222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1938433" name="Innovation Plan stages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50592" cy="3268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84.5pt;height:267pt;margin-top:58.2pt;margin-left:-22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  <v:textbox>
                  <w:txbxContent>
                    <w:p w:rsidR="005322E2" w14:paraId="77175087" w14:textId="77777777">
                      <w:drawing>
                        <wp:inline distT="0" distB="0" distL="0" distR="0">
                          <wp:extent cx="5993314" cy="3237865"/>
                          <wp:effectExtent l="0" t="0" r="7620" b="635"/>
                          <wp:docPr id="1341981620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03449587" name="Innovation Plan stages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50592" cy="32688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  <w:r w:rsidR="0073203F">
        <w:t>It did however emphasise the need to be f</w:t>
      </w:r>
      <w:r w:rsidR="006C3A19">
        <w:t xml:space="preserve">lexible and indicated </w:t>
      </w:r>
      <w:r w:rsidR="0073203F">
        <w:t xml:space="preserve">that </w:t>
      </w:r>
      <w:r w:rsidR="006C3A19">
        <w:t>global change may</w:t>
      </w:r>
      <w:r w:rsidR="0073203F">
        <w:t xml:space="preserve"> require </w:t>
      </w:r>
      <w:r w:rsidR="00FC1862">
        <w:t>updates</w:t>
      </w:r>
      <w:r w:rsidR="0074689F">
        <w:t xml:space="preserve"> to the </w:t>
      </w:r>
      <w:r w:rsidR="0074689F">
        <w:t>approach</w:t>
      </w:r>
      <w:r w:rsidR="0073203F">
        <w:t xml:space="preserve"> and it </w:t>
      </w:r>
      <w:r w:rsidR="006C3A19">
        <w:t xml:space="preserve">recognised the need for deeper dives as the Innovation Board developed. The five strategic aims </w:t>
      </w:r>
      <w:r>
        <w:t>are set out in</w:t>
      </w:r>
      <w:r w:rsidR="006C5499">
        <w:t xml:space="preserve"> the diagram below:</w:t>
      </w:r>
    </w:p>
    <w:p w:rsidR="00E211E4" w14:paraId="600EEAC6" w14:textId="77777777">
      <w:r>
        <w:t xml:space="preserve">The </w:t>
      </w:r>
      <w:r w:rsidR="005121FA">
        <w:t xml:space="preserve">counties </w:t>
      </w:r>
      <w:r w:rsidR="00924F35">
        <w:t xml:space="preserve">overall </w:t>
      </w:r>
      <w:r>
        <w:t xml:space="preserve">Strategic Economic Plan </w:t>
      </w:r>
      <w:r w:rsidR="003F3C92">
        <w:t xml:space="preserve">had set in motion </w:t>
      </w:r>
      <w:r>
        <w:t xml:space="preserve">key investments </w:t>
      </w:r>
      <w:r w:rsidR="00C07544">
        <w:t xml:space="preserve">in innovation </w:t>
      </w:r>
      <w:r w:rsidR="00C07544">
        <w:t>Assets</w:t>
      </w:r>
      <w:r w:rsidR="00C07544">
        <w:t xml:space="preserve"> but</w:t>
      </w:r>
      <w:r>
        <w:t xml:space="preserve"> similar change </w:t>
      </w:r>
      <w:r w:rsidR="00C07544">
        <w:t>was anticipated</w:t>
      </w:r>
      <w:r>
        <w:t xml:space="preserve"> in light of Brexit, Covid and the Levelling-Up policy emphasis. </w:t>
      </w:r>
      <w:r w:rsidR="00F17E52">
        <w:t>In response t</w:t>
      </w:r>
      <w:r>
        <w:t>he</w:t>
      </w:r>
      <w:r w:rsidR="005417BA">
        <w:t xml:space="preserve"> LEP developed</w:t>
      </w:r>
      <w:r>
        <w:t xml:space="preserve"> a </w:t>
      </w:r>
      <w:r w:rsidRPr="0045002C">
        <w:rPr>
          <w:b/>
        </w:rPr>
        <w:t>Strategic Framework</w:t>
      </w:r>
      <w:r>
        <w:t xml:space="preserve"> providing a business voice for growth</w:t>
      </w:r>
      <w:r w:rsidR="00EA1B7F">
        <w:t>,</w:t>
      </w:r>
      <w:r>
        <w:t xml:space="preserve"> building on </w:t>
      </w:r>
      <w:r w:rsidR="00BB2332">
        <w:t>input from key</w:t>
      </w:r>
      <w:r>
        <w:t xml:space="preserve"> sector groups</w:t>
      </w:r>
      <w:r w:rsidR="0045002C">
        <w:t xml:space="preserve">. </w:t>
      </w:r>
    </w:p>
    <w:p w:rsidR="00AC7EE1" w14:paraId="375186B8" w14:textId="791D0D91">
      <w:r>
        <w:t xml:space="preserve">The LEP Sector Groups are </w:t>
      </w:r>
      <w:r>
        <w:t xml:space="preserve">developing headline sector plans and priorities that will in turn inform and require </w:t>
      </w:r>
      <w:r w:rsidR="00924F35">
        <w:t xml:space="preserve">responsive </w:t>
      </w:r>
      <w:r>
        <w:t>cluster developments</w:t>
      </w:r>
      <w:r w:rsidR="00924F35">
        <w:t>. The</w:t>
      </w:r>
      <w:r>
        <w:t xml:space="preserve"> strategic framework raises</w:t>
      </w:r>
      <w:r w:rsidR="007F1EFF">
        <w:t xml:space="preserve"> the importance of innovation alongside identification of</w:t>
      </w:r>
      <w:r>
        <w:t xml:space="preserve"> the enablers</w:t>
      </w:r>
      <w:r w:rsidR="007F1EFF">
        <w:t xml:space="preserve"> and technologies that cut across </w:t>
      </w:r>
      <w:r w:rsidR="00C41BE4">
        <w:t xml:space="preserve">the </w:t>
      </w:r>
      <w:r w:rsidR="00D83491">
        <w:t>our</w:t>
      </w:r>
      <w:r w:rsidR="00D83491">
        <w:t xml:space="preserve"> strong</w:t>
      </w:r>
      <w:r w:rsidR="00C41BE4">
        <w:t xml:space="preserve"> sectors in Lancashire</w:t>
      </w:r>
      <w:r w:rsidR="007F1EFF">
        <w:t>.</w:t>
      </w:r>
    </w:p>
    <w:p w:rsidR="000D679F" w14:paraId="4DAA240C" w14:textId="777777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471170</wp:posOffset>
                </wp:positionV>
                <wp:extent cx="6045200" cy="346710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6B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918077" cy="3244850"/>
                                  <wp:effectExtent l="0" t="0" r="6985" b="0"/>
                                  <wp:docPr id="9155548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1573811" name="Sector Groups LEP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8487" cy="3277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476pt;height:273pt;margin-top:37.1pt;margin-left:-17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stroked="f">
                <v:textbox>
                  <w:txbxContent>
                    <w:p w:rsidR="00BD2E6B" w14:paraId="615F05D0" w14:textId="77777777">
                      <w:drawing>
                        <wp:inline distT="0" distB="0" distL="0" distR="0">
                          <wp:extent cx="5918077" cy="3244850"/>
                          <wp:effectExtent l="0" t="0" r="6985" b="0"/>
                          <wp:docPr id="171745503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72312501" name="Sector Groups LEP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78487" cy="32779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  <w:r w:rsidR="000D679F">
        <w:t xml:space="preserve">The diagram below illustrates the </w:t>
      </w:r>
      <w:r w:rsidR="00A73A27">
        <w:t xml:space="preserve">LEP </w:t>
      </w:r>
      <w:r w:rsidR="000D679F">
        <w:t>Sector Group</w:t>
      </w:r>
      <w:r>
        <w:t xml:space="preserve"> pillars of growth</w:t>
      </w:r>
      <w:r w:rsidR="000D679F">
        <w:t xml:space="preserve"> and framework of enablers.</w:t>
      </w:r>
    </w:p>
    <w:p w:rsidR="00461ED8" w14:paraId="1335CD15" w14:textId="77777777">
      <w:r>
        <w:t xml:space="preserve">In light of this </w:t>
      </w:r>
      <w:r w:rsidR="004124E5">
        <w:t xml:space="preserve">the </w:t>
      </w:r>
      <w:r w:rsidR="00700961">
        <w:t>work on</w:t>
      </w:r>
      <w:r w:rsidR="00411D27">
        <w:t xml:space="preserve"> a</w:t>
      </w:r>
      <w:r w:rsidR="00357912">
        <w:t xml:space="preserve"> Lancashire Local Industrial Strategy (LIS)</w:t>
      </w:r>
      <w:r w:rsidR="004124E5">
        <w:t>,</w:t>
      </w:r>
      <w:r w:rsidR="007F6D8E">
        <w:t xml:space="preserve"> </w:t>
      </w:r>
      <w:r w:rsidR="004C6F93">
        <w:t>supported</w:t>
      </w:r>
      <w:r w:rsidR="00BA1D05">
        <w:t xml:space="preserve"> by Steer Consultancy</w:t>
      </w:r>
      <w:r w:rsidR="004124E5">
        <w:t>,</w:t>
      </w:r>
      <w:r w:rsidR="00BA1D05">
        <w:t xml:space="preserve"> </w:t>
      </w:r>
      <w:r w:rsidR="00357912">
        <w:t xml:space="preserve">was </w:t>
      </w:r>
      <w:r w:rsidR="00411D27">
        <w:t>updated</w:t>
      </w:r>
      <w:r w:rsidR="00357912">
        <w:t xml:space="preserve"> on the basis of the Strategic Framework and </w:t>
      </w:r>
      <w:r w:rsidR="00B07711">
        <w:t>new policy directions to inform</w:t>
      </w:r>
      <w:r w:rsidR="00BA1D05">
        <w:t xml:space="preserve"> the</w:t>
      </w:r>
      <w:r w:rsidR="00B07711">
        <w:t xml:space="preserve"> development of</w:t>
      </w:r>
      <w:r w:rsidR="00357912">
        <w:t xml:space="preserve"> a </w:t>
      </w:r>
      <w:r w:rsidRPr="00357912" w:rsidR="00357912">
        <w:rPr>
          <w:b/>
        </w:rPr>
        <w:t>Lancashire</w:t>
      </w:r>
      <w:r w:rsidR="00357912">
        <w:t xml:space="preserve"> </w:t>
      </w:r>
      <w:r w:rsidRPr="00357912" w:rsidR="00357912">
        <w:rPr>
          <w:b/>
        </w:rPr>
        <w:t>Growth Plan</w:t>
      </w:r>
      <w:r w:rsidR="00357912">
        <w:rPr>
          <w:b/>
        </w:rPr>
        <w:t xml:space="preserve">. </w:t>
      </w:r>
    </w:p>
    <w:p w:rsidR="00924F35" w14:paraId="1209679D" w14:textId="5B68D524">
      <w:r>
        <w:t xml:space="preserve">This </w:t>
      </w:r>
      <w:r w:rsidR="00806831">
        <w:t xml:space="preserve">recent </w:t>
      </w:r>
      <w:r>
        <w:t xml:space="preserve">work </w:t>
      </w:r>
      <w:r w:rsidR="0003671A">
        <w:t xml:space="preserve">has </w:t>
      </w:r>
      <w:r w:rsidR="00F86B78">
        <w:t xml:space="preserve">also </w:t>
      </w:r>
      <w:r>
        <w:t>ra</w:t>
      </w:r>
      <w:r w:rsidR="0003671A">
        <w:t xml:space="preserve">tionalised and </w:t>
      </w:r>
      <w:r w:rsidR="00F73C73">
        <w:t>combined</w:t>
      </w:r>
      <w:r w:rsidR="0003671A">
        <w:t xml:space="preserve"> our</w:t>
      </w:r>
      <w:r>
        <w:t xml:space="preserve"> innovation plan</w:t>
      </w:r>
      <w:r w:rsidR="0003671A">
        <w:t>ning</w:t>
      </w:r>
      <w:r>
        <w:t xml:space="preserve"> </w:t>
      </w:r>
      <w:r w:rsidR="00B75D0E">
        <w:t xml:space="preserve">and evidence base </w:t>
      </w:r>
      <w:r w:rsidR="007A61DB">
        <w:t>to align the sector groups and emerging clusters, identify</w:t>
      </w:r>
      <w:r>
        <w:t xml:space="preserve"> </w:t>
      </w:r>
      <w:r w:rsidR="006C5499">
        <w:t xml:space="preserve">four missions </w:t>
      </w:r>
      <w:r w:rsidR="007A61DB">
        <w:t>that build on our strengths and national challenges and three themes for what we must “own”, collaborate on or adopt. This unifying</w:t>
      </w:r>
      <w:r>
        <w:t xml:space="preserve"> LEP</w:t>
      </w:r>
      <w:r w:rsidR="007A61DB">
        <w:t xml:space="preserve"> </w:t>
      </w:r>
      <w:r>
        <w:t>I</w:t>
      </w:r>
      <w:r w:rsidR="00175F78">
        <w:t xml:space="preserve">nnovation </w:t>
      </w:r>
      <w:r>
        <w:t>S</w:t>
      </w:r>
      <w:r w:rsidR="007A61DB">
        <w:t>trategy is</w:t>
      </w:r>
      <w:r w:rsidR="006C5499">
        <w:t xml:space="preserve"> illustrated in the following diagram</w:t>
      </w:r>
      <w:r w:rsidR="00175F78">
        <w:t xml:space="preserve"> and also shows the </w:t>
      </w:r>
      <w:r w:rsidR="00806831">
        <w:t xml:space="preserve">recently published </w:t>
      </w:r>
      <w:r w:rsidR="00175F78">
        <w:t>UK Innovation Strategy technology families</w:t>
      </w:r>
      <w:r w:rsidR="006C5499">
        <w:t>:</w:t>
      </w:r>
    </w:p>
    <w:p w:rsidR="00175F78" w14:paraId="0DD8A25E" w14:textId="777777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0</wp:posOffset>
                </wp:positionV>
                <wp:extent cx="6426200" cy="3111500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78" w14:textId="77777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71260" cy="3009900"/>
                                  <wp:effectExtent l="0" t="0" r="0" b="0"/>
                                  <wp:docPr id="214134114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1511464" name="Lancs Innovation Strategy.pn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1809" cy="3034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506pt;height:245pt;margin-top:0;margin-left:-15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 stroked="f">
                <v:textbox>
                  <w:txbxContent>
                    <w:p w:rsidR="00175F78" w14:paraId="7BFD9B01" w14:textId="77777777">
                      <w:drawing>
                        <wp:inline distT="0" distB="0" distL="0" distR="0">
                          <wp:extent cx="6271260" cy="3009900"/>
                          <wp:effectExtent l="0" t="0" r="0" b="0"/>
                          <wp:docPr id="213219659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91757408" name="Lancs Innovation Strategy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21809" cy="30341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203F" w14:paraId="4AD9A9B1" w14:textId="77777777">
      <w:r>
        <w:t xml:space="preserve">In terms of this </w:t>
      </w:r>
      <w:r w:rsidR="00C61A02">
        <w:t xml:space="preserve">innovation </w:t>
      </w:r>
      <w:r w:rsidR="003338BB">
        <w:t xml:space="preserve">landscape and </w:t>
      </w:r>
      <w:r>
        <w:t>strategy t</w:t>
      </w:r>
      <w:r w:rsidR="00D20783">
        <w:t>he questions</w:t>
      </w:r>
      <w:r w:rsidR="00806831">
        <w:t xml:space="preserve"> for stakeholders in</w:t>
      </w:r>
      <w:r w:rsidR="009025F4">
        <w:t xml:space="preserve"> Lancashire </w:t>
      </w:r>
      <w:r w:rsidR="00116010">
        <w:t xml:space="preserve">include </w:t>
      </w:r>
      <w:r w:rsidR="009025F4">
        <w:t>the following considerations:</w:t>
      </w:r>
    </w:p>
    <w:p w:rsidR="009025F4" w:rsidP="009025F4" w14:paraId="1B4FD853" w14:textId="77777777">
      <w:pPr>
        <w:pStyle w:val="ListParagraph"/>
        <w:numPr>
          <w:ilvl w:val="0"/>
          <w:numId w:val="2"/>
        </w:numPr>
      </w:pPr>
      <w:r>
        <w:t>What aspects and sub themes of the UK Innovation Strategy technology families do we want to focus on that align with our strengths and capabilities?</w:t>
      </w:r>
    </w:p>
    <w:p w:rsidR="009025F4" w:rsidP="009025F4" w14:paraId="612AA6A4" w14:textId="77777777">
      <w:pPr>
        <w:pStyle w:val="ListParagraph"/>
        <w:numPr>
          <w:ilvl w:val="0"/>
          <w:numId w:val="2"/>
        </w:numPr>
      </w:pPr>
      <w:r>
        <w:t>What do we know about the make-up of our clusters, their relative strengths and the support they need to me</w:t>
      </w:r>
      <w:r>
        <w:t xml:space="preserve">et their ambitions for innovation and </w:t>
      </w:r>
      <w:r>
        <w:t>place based</w:t>
      </w:r>
      <w:r>
        <w:t xml:space="preserve"> R&amp;D?</w:t>
      </w:r>
    </w:p>
    <w:p w:rsidR="009025F4" w:rsidP="009025F4" w14:paraId="3C47CE26" w14:textId="77777777">
      <w:pPr>
        <w:pStyle w:val="ListParagraph"/>
        <w:numPr>
          <w:ilvl w:val="0"/>
          <w:numId w:val="2"/>
        </w:numPr>
      </w:pPr>
      <w:r>
        <w:t>How do the elements of the big missions we face as a society</w:t>
      </w:r>
      <w:r w:rsidR="008445AD">
        <w:t xml:space="preserve"> (locally and nationally)</w:t>
      </w:r>
      <w:r>
        <w:t xml:space="preserve"> mesh with the technology families we want to focus on with our clusters and sector groups?</w:t>
      </w:r>
    </w:p>
    <w:p w:rsidR="00084F17" w:rsidP="009025F4" w14:paraId="29BC6937" w14:textId="77777777">
      <w:pPr>
        <w:pStyle w:val="ListParagraph"/>
        <w:numPr>
          <w:ilvl w:val="0"/>
          <w:numId w:val="2"/>
        </w:numPr>
      </w:pPr>
      <w:r>
        <w:t>What innovation do we want to own or lead on as our frontier sectors; what do we want to collaborate on across sectors/regions; what do we want to adopt and diffuse</w:t>
      </w:r>
      <w:r w:rsidR="00696331">
        <w:t xml:space="preserve"> across our business base</w:t>
      </w:r>
      <w:r>
        <w:t>?</w:t>
      </w:r>
    </w:p>
    <w:p w:rsidR="003316F0" w:rsidP="003316F0" w14:paraId="3C1D1B8D" w14:textId="77777777">
      <w:r>
        <w:t>This emergent L</w:t>
      </w:r>
      <w:r w:rsidR="006070D9">
        <w:t>EP</w:t>
      </w:r>
      <w:r>
        <w:t xml:space="preserve"> Innovation Strategy</w:t>
      </w:r>
      <w:r w:rsidR="006070D9">
        <w:t xml:space="preserve"> is designed to </w:t>
      </w:r>
      <w:r w:rsidR="006760B7">
        <w:t>b</w:t>
      </w:r>
      <w:r w:rsidR="006070D9">
        <w:t>u</w:t>
      </w:r>
      <w:r w:rsidR="006760B7">
        <w:t>i</w:t>
      </w:r>
      <w:r w:rsidR="006070D9">
        <w:t>ld on our strengths</w:t>
      </w:r>
      <w:r w:rsidR="006760B7">
        <w:t xml:space="preserve"> and</w:t>
      </w:r>
      <w:r>
        <w:t xml:space="preserve"> </w:t>
      </w:r>
      <w:r w:rsidR="006760B7">
        <w:t>offer alignment</w:t>
      </w:r>
      <w:r>
        <w:t xml:space="preserve"> to the contents of the UK Innovation Strategy described below</w:t>
      </w:r>
      <w:r w:rsidR="00E7281B">
        <w:t>,</w:t>
      </w:r>
      <w:r>
        <w:t xml:space="preserve"> which will place a strong emphasis on our relationship with Innovat</w:t>
      </w:r>
      <w:r>
        <w:t>e UK and UKRI to co-create propositions in Lancashire.</w:t>
      </w:r>
    </w:p>
    <w:p w:rsidR="00696331" w:rsidP="00B07711" w14:paraId="43B6CF62" w14:textId="77777777"/>
    <w:p w:rsidR="00696331" w:rsidRPr="006D27BE" w:rsidP="00B07711" w14:paraId="573EB04D" w14:textId="77777777">
      <w:pPr>
        <w:rPr>
          <w:b/>
        </w:rPr>
      </w:pPr>
      <w:r w:rsidRPr="006D27BE">
        <w:rPr>
          <w:b/>
        </w:rPr>
        <w:t>The UK Innovation Strategy</w:t>
      </w:r>
    </w:p>
    <w:p w:rsidR="00B07711" w:rsidP="00B07711" w14:paraId="1AFE61AD" w14:textId="77777777">
      <w:r>
        <w:t>P</w:t>
      </w:r>
      <w:r w:rsidR="00F84B36">
        <w:t>ublished in the last few weeks,</w:t>
      </w:r>
      <w:r>
        <w:t xml:space="preserve"> this document sets out the government’s interest in supporting innovation in Places, Sectors and Business with an emphasis on levelling up t</w:t>
      </w:r>
      <w:r>
        <w:t xml:space="preserve">he economy, creating high value jobs and global trading opportunities. At various stages the interlinking of these factors is </w:t>
      </w:r>
      <w:r>
        <w:t>stressed</w:t>
      </w:r>
      <w:r>
        <w:t xml:space="preserve"> and it is seen in the light of the importance of infrastructure, skills and innovation as key drivers and sets out to boo</w:t>
      </w:r>
      <w:r>
        <w:t>st private sector investment. It commits to increasing public spend on R&amp;D which have been echoed by Treasury statements at the time of its release.</w:t>
      </w:r>
    </w:p>
    <w:p w:rsidR="00B07711" w:rsidP="00B07711" w14:paraId="2BF5EC50" w14:textId="77777777">
      <w:r>
        <w:t>Importantly t</w:t>
      </w:r>
      <w:r w:rsidR="00696331">
        <w:t>he UK plan</w:t>
      </w:r>
      <w:r>
        <w:t xml:space="preserve"> st</w:t>
      </w:r>
      <w:r w:rsidR="00696331">
        <w:t xml:space="preserve">ates that it has asked </w:t>
      </w:r>
      <w:r>
        <w:t xml:space="preserve">Innovate UK </w:t>
      </w:r>
      <w:r w:rsidR="00696331">
        <w:t xml:space="preserve">and UKRI </w:t>
      </w:r>
      <w:r>
        <w:t>to inform on</w:t>
      </w:r>
      <w:r w:rsidR="00696331">
        <w:t xml:space="preserve"> the</w:t>
      </w:r>
      <w:r>
        <w:t xml:space="preserve"> detail and operation</w:t>
      </w:r>
      <w:r>
        <w:t xml:space="preserve">alise the strategy. </w:t>
      </w:r>
    </w:p>
    <w:p w:rsidR="00B07711" w:rsidP="00B07711" w14:paraId="147770F6" w14:textId="77777777">
      <w:r>
        <w:t>In summary the Strategy divides its actions into four pillars as follows:</w:t>
      </w:r>
    </w:p>
    <w:p w:rsidR="00B07711" w:rsidP="00B07711" w14:paraId="4535542D" w14:textId="77777777">
      <w:r w:rsidRPr="0076702B">
        <w:rPr>
          <w:i/>
        </w:rPr>
        <w:t>Pillar 1 – Unleash Business</w:t>
      </w:r>
      <w:r>
        <w:t xml:space="preserve"> – the focus being priming with increased public R&amp;D and the setting up of an on-line finance and Innovation Hub linked to Innovate UK Edge. It advises it will consult on regulation that hinders innovation and form a </w:t>
      </w:r>
      <w:r w:rsidR="007A16E8">
        <w:t xml:space="preserve">national </w:t>
      </w:r>
      <w:r>
        <w:t>Business Innovation Forum.</w:t>
      </w:r>
      <w:r w:rsidR="007A16E8">
        <w:t xml:space="preserve"> It proposes to build on lessons from the rapid team Covid R&amp;D response. Links to Catapults, the use of Test Beds, importance of safe data and the better use of venture funding are cited.</w:t>
      </w:r>
    </w:p>
    <w:p w:rsidR="00B07711" w:rsidP="00B07711" w14:paraId="29EB0EC7" w14:textId="77777777">
      <w:r w:rsidRPr="0076702B">
        <w:rPr>
          <w:i/>
        </w:rPr>
        <w:t>Pillar 2 – People</w:t>
      </w:r>
      <w:r>
        <w:t xml:space="preserve"> – Ef</w:t>
      </w:r>
      <w:r w:rsidR="007A16E8">
        <w:t>forts will be made to build on v</w:t>
      </w:r>
      <w:r>
        <w:t>isa changes to att</w:t>
      </w:r>
      <w:r>
        <w:t>ract the best innovators and entrepreneurs and the Help to Grow:</w:t>
      </w:r>
      <w:r w:rsidR="007A16E8">
        <w:t xml:space="preserve"> </w:t>
      </w:r>
      <w:r>
        <w:t>Management programme was re-announced. In Lancashire, Lan</w:t>
      </w:r>
      <w:r w:rsidR="007A16E8">
        <w:t xml:space="preserve">caster University </w:t>
      </w:r>
      <w:r>
        <w:t xml:space="preserve">and </w:t>
      </w:r>
      <w:r>
        <w:t>UCLan</w:t>
      </w:r>
      <w:r>
        <w:t xml:space="preserve"> </w:t>
      </w:r>
      <w:r w:rsidR="007A16E8">
        <w:t>will be in a position to deliver Help to Grow.</w:t>
      </w:r>
      <w:r w:rsidR="00230AF8">
        <w:t xml:space="preserve"> The strategy announced a consultation later in the year on setting up a hub or hubs for Cyber-Physical Infrastructure</w:t>
      </w:r>
    </w:p>
    <w:p w:rsidR="00B07711" w:rsidP="00B07711" w14:paraId="39A2A642" w14:textId="3BCB6996">
      <w:r w:rsidRPr="0076702B">
        <w:rPr>
          <w:i/>
        </w:rPr>
        <w:t>Pillar 3 – Institutions and Places</w:t>
      </w:r>
      <w:r>
        <w:t xml:space="preserve"> –</w:t>
      </w:r>
      <w:r w:rsidR="007A16E8">
        <w:t xml:space="preserve"> </w:t>
      </w:r>
      <w:r>
        <w:t>The Govt has proposed to review/map the organisations doing innovation</w:t>
      </w:r>
      <w:r w:rsidR="007A16E8">
        <w:t xml:space="preserve"> and support </w:t>
      </w:r>
      <w:r w:rsidR="007A16E8">
        <w:t>place based</w:t>
      </w:r>
      <w:r w:rsidR="007A16E8">
        <w:t xml:space="preserve"> innovation projects</w:t>
      </w:r>
      <w:r>
        <w:t>. It re-announces money previously committed t</w:t>
      </w:r>
      <w:r>
        <w:t>o Strength in Places and proposes to expand the Connecting Capability Fun</w:t>
      </w:r>
      <w:r w:rsidR="007A16E8">
        <w:t>d programme</w:t>
      </w:r>
      <w:r>
        <w:t>.</w:t>
      </w:r>
      <w:r w:rsidR="00230AF8">
        <w:t xml:space="preserve"> Reference is made to better access or regional support through UKRI and a commitment that more Places will host world-leading, globally connected innovation Clusters/Hubs. Innovation Districts are cited as examples of </w:t>
      </w:r>
      <w:r w:rsidR="00230AF8">
        <w:t>p</w:t>
      </w:r>
      <w:r>
        <w:t>l</w:t>
      </w:r>
      <w:r w:rsidR="00230AF8">
        <w:t>ace based</w:t>
      </w:r>
      <w:r w:rsidR="00230AF8">
        <w:t xml:space="preserve"> approaches and the concept of Innovation Deals may be expected regionally. The Govt plan is that Shared Prosperity Fund (SPF) plans will be announced later in the year</w:t>
      </w:r>
    </w:p>
    <w:p w:rsidR="00B07711" w:rsidP="00B07711" w14:paraId="2FD11422" w14:textId="77777777">
      <w:r w:rsidRPr="0076702B">
        <w:rPr>
          <w:i/>
        </w:rPr>
        <w:t>Pillar 4 – Missions &amp; Technol</w:t>
      </w:r>
      <w:r w:rsidRPr="0076702B">
        <w:rPr>
          <w:i/>
        </w:rPr>
        <w:t>ogies</w:t>
      </w:r>
      <w:r>
        <w:t xml:space="preserve"> – the strategy says it will set up an Innovation Missions Programme linking to 7 key technologies and proposes new Prosperity Partnerships. </w:t>
      </w:r>
      <w:r w:rsidR="00230AF8">
        <w:t>The Strategy stresses that i</w:t>
      </w:r>
      <w:r>
        <w:t>nnovation is driven by responding to ch</w:t>
      </w:r>
      <w:r w:rsidR="003316F0">
        <w:t>allenges</w:t>
      </w:r>
      <w:r>
        <w:t xml:space="preserve"> </w:t>
      </w:r>
      <w:r w:rsidR="003316F0">
        <w:t>(</w:t>
      </w:r>
      <w:r w:rsidR="003316F0">
        <w:t>eg</w:t>
      </w:r>
      <w:r w:rsidR="003316F0">
        <w:t xml:space="preserve"> Covid) </w:t>
      </w:r>
      <w:r>
        <w:t>and being in a position</w:t>
      </w:r>
      <w:r>
        <w:t xml:space="preserve"> to utilise emerging ke</w:t>
      </w:r>
      <w:r w:rsidR="003316F0">
        <w:t xml:space="preserve">y technologies and </w:t>
      </w:r>
      <w:r>
        <w:t>proposes a more active approach.</w:t>
      </w:r>
    </w:p>
    <w:p w:rsidR="00230AF8" w:rsidP="00230AF8" w14:paraId="02FE343F" w14:textId="77777777">
      <w:r>
        <w:t xml:space="preserve">There will therefore be an Innovation Missions Programme which will link science, industry, investment and world trade and </w:t>
      </w:r>
      <w:r w:rsidR="003316F0">
        <w:t>new m</w:t>
      </w:r>
      <w:r>
        <w:t xml:space="preserve">issions and priorities will be set by a new National </w:t>
      </w:r>
      <w:r>
        <w:t>Science and Technology Council. It is proposed that,</w:t>
      </w:r>
    </w:p>
    <w:p w:rsidR="00B07711" w:rsidP="00700A36" w14:paraId="6D270AD5" w14:textId="77777777">
      <w:pPr>
        <w:pStyle w:val="NoSpacing"/>
      </w:pPr>
      <w:r>
        <w:t>•</w:t>
      </w:r>
      <w:r>
        <w:tab/>
      </w:r>
      <w:r w:rsidR="00230AF8">
        <w:t>e</w:t>
      </w:r>
      <w:r>
        <w:t>fforts should be cross-sectoral and leverage transformational technologies</w:t>
      </w:r>
      <w:r w:rsidR="003316F0">
        <w:t>,</w:t>
      </w:r>
    </w:p>
    <w:p w:rsidR="00B07711" w:rsidP="00700A36" w14:paraId="0DD78532" w14:textId="77777777">
      <w:pPr>
        <w:pStyle w:val="NoSpacing"/>
      </w:pPr>
      <w:r>
        <w:t>•</w:t>
      </w:r>
      <w:r>
        <w:tab/>
        <w:t>build on ISCF funding for projects (similarities to the Grand Challenges</w:t>
      </w:r>
      <w:r>
        <w:t>);</w:t>
      </w:r>
    </w:p>
    <w:p w:rsidR="00B07711" w:rsidP="00700A36" w14:paraId="201D844A" w14:textId="77777777">
      <w:pPr>
        <w:pStyle w:val="NoSpacing"/>
      </w:pPr>
      <w:r>
        <w:t>•</w:t>
      </w:r>
      <w:r>
        <w:tab/>
        <w:t>cross fertilise</w:t>
      </w:r>
      <w:r w:rsidR="0076702B">
        <w:t xml:space="preserve"> human</w:t>
      </w:r>
      <w:r>
        <w:t xml:space="preserve"> and physical </w:t>
      </w:r>
      <w:r>
        <w:t>sciences;</w:t>
      </w:r>
    </w:p>
    <w:p w:rsidR="00B07711" w:rsidP="00700A36" w14:paraId="2768DC68" w14:textId="77777777">
      <w:pPr>
        <w:pStyle w:val="NoSpacing"/>
      </w:pPr>
      <w:r>
        <w:t>•</w:t>
      </w:r>
      <w:r>
        <w:tab/>
        <w:t>make use of Govt convening power to facilitate a whole systems approach</w:t>
      </w:r>
    </w:p>
    <w:p w:rsidR="00700A36" w:rsidP="00700A36" w14:paraId="7CDC4D3B" w14:textId="77777777">
      <w:pPr>
        <w:pStyle w:val="NoSpacing"/>
      </w:pPr>
    </w:p>
    <w:p w:rsidR="00B07711" w:rsidP="00B07711" w14:paraId="2A8BCD44" w14:textId="77777777">
      <w:r>
        <w:t xml:space="preserve">The </w:t>
      </w:r>
      <w:r w:rsidR="003316F0">
        <w:t xml:space="preserve">UK Innovation Strategy also sets out </w:t>
      </w:r>
      <w:r w:rsidR="0076702B">
        <w:t>seven Tech families</w:t>
      </w:r>
      <w:r>
        <w:t xml:space="preserve"> based on previous </w:t>
      </w:r>
      <w:r w:rsidR="0076702B">
        <w:t xml:space="preserve">and updated </w:t>
      </w:r>
      <w:r>
        <w:t>work (</w:t>
      </w:r>
      <w:r>
        <w:t>eg</w:t>
      </w:r>
      <w:r>
        <w:t xml:space="preserve"> 8 great tech that informed the Grand Challenges) and is meant to be areas the UK </w:t>
      </w:r>
      <w:r>
        <w:t>can secure advantage, as follows:</w:t>
      </w:r>
    </w:p>
    <w:p w:rsidR="00B07711" w:rsidP="00700A36" w14:paraId="504E74DB" w14:textId="77777777">
      <w:pPr>
        <w:pStyle w:val="NoSpacing"/>
      </w:pPr>
      <w:r>
        <w:t>•</w:t>
      </w:r>
      <w:r>
        <w:tab/>
        <w:t>Advanced materials and manufacturing</w:t>
      </w:r>
    </w:p>
    <w:p w:rsidR="00B07711" w:rsidP="00700A36" w14:paraId="6CE5D683" w14:textId="77777777">
      <w:pPr>
        <w:pStyle w:val="NoSpacing"/>
      </w:pPr>
      <w:r>
        <w:t>•</w:t>
      </w:r>
      <w:r>
        <w:tab/>
        <w:t>AI, digital and Advanced computing</w:t>
      </w:r>
    </w:p>
    <w:p w:rsidR="00B07711" w:rsidP="00700A36" w14:paraId="48636171" w14:textId="77777777">
      <w:pPr>
        <w:pStyle w:val="NoSpacing"/>
      </w:pPr>
      <w:r>
        <w:t>•</w:t>
      </w:r>
      <w:r>
        <w:tab/>
        <w:t>Bioinformatics and Genomics</w:t>
      </w:r>
    </w:p>
    <w:p w:rsidR="00B07711" w:rsidP="00700A36" w14:paraId="279DFDA6" w14:textId="77777777">
      <w:pPr>
        <w:pStyle w:val="NoSpacing"/>
      </w:pPr>
      <w:r>
        <w:t>•</w:t>
      </w:r>
      <w:r>
        <w:tab/>
        <w:t>Engineering Biology</w:t>
      </w:r>
    </w:p>
    <w:p w:rsidR="00B07711" w:rsidP="00700A36" w14:paraId="73189BB9" w14:textId="77777777">
      <w:pPr>
        <w:pStyle w:val="NoSpacing"/>
      </w:pPr>
      <w:r>
        <w:t>•</w:t>
      </w:r>
      <w:r>
        <w:tab/>
        <w:t>Electronics, Photonics and Quantum</w:t>
      </w:r>
    </w:p>
    <w:p w:rsidR="00B07711" w:rsidP="00700A36" w14:paraId="121B00EB" w14:textId="77777777">
      <w:pPr>
        <w:pStyle w:val="NoSpacing"/>
      </w:pPr>
      <w:r>
        <w:t>•</w:t>
      </w:r>
      <w:r>
        <w:tab/>
        <w:t>Energy and Environment Technologies</w:t>
      </w:r>
    </w:p>
    <w:p w:rsidR="00B07711" w:rsidP="00700A36" w14:paraId="30FF02D3" w14:textId="77777777">
      <w:pPr>
        <w:pStyle w:val="NoSpacing"/>
      </w:pPr>
      <w:r>
        <w:t>•</w:t>
      </w:r>
      <w:r>
        <w:tab/>
        <w:t xml:space="preserve">Robotics and </w:t>
      </w:r>
      <w:r>
        <w:t>Smart machines</w:t>
      </w:r>
    </w:p>
    <w:p w:rsidR="00700A36" w:rsidP="00700A36" w14:paraId="421C2F1F" w14:textId="77777777">
      <w:pPr>
        <w:pStyle w:val="NoSpacing"/>
      </w:pPr>
    </w:p>
    <w:p w:rsidR="00B07711" w:rsidP="00B07711" w14:paraId="4E488344" w14:textId="77777777">
      <w:r>
        <w:t>The integration of these families into a Cyber-Physical Infrastructure is also likely to be key. The document also advises that Gov</w:t>
      </w:r>
      <w:r w:rsidR="003316F0">
        <w:t>ernment</w:t>
      </w:r>
      <w:r>
        <w:t xml:space="preserve"> role </w:t>
      </w:r>
      <w:r w:rsidR="003316F0">
        <w:t xml:space="preserve">is to help </w:t>
      </w:r>
      <w:r>
        <w:t>better access to specialist facilities for business and more</w:t>
      </w:r>
      <w:r w:rsidR="003316F0">
        <w:t xml:space="preserve"> finance support for Deep Tech and t</w:t>
      </w:r>
      <w:r>
        <w:t>he strategy also announced:</w:t>
      </w:r>
    </w:p>
    <w:p w:rsidR="00B07711" w:rsidP="00700A36" w14:paraId="4EE09AB9" w14:textId="77777777">
      <w:pPr>
        <w:pStyle w:val="NoSpacing"/>
      </w:pPr>
      <w:r>
        <w:t>•</w:t>
      </w:r>
      <w:r>
        <w:tab/>
        <w:t xml:space="preserve">Importance of the EPSRC Prosperity Partnerships and inferring </w:t>
      </w:r>
      <w:r w:rsidR="003316F0">
        <w:t xml:space="preserve">a </w:t>
      </w:r>
      <w:r>
        <w:t xml:space="preserve">new or widening role </w:t>
      </w:r>
    </w:p>
    <w:p w:rsidR="00B07711" w:rsidP="00FC7CB8" w14:paraId="199C8EF0" w14:textId="059E7750">
      <w:pPr>
        <w:pStyle w:val="NoSpacing"/>
        <w:ind w:left="720" w:hanging="720"/>
      </w:pPr>
      <w:r>
        <w:t>•</w:t>
      </w:r>
      <w:r>
        <w:tab/>
        <w:t xml:space="preserve">Further mention was made of a </w:t>
      </w:r>
      <w:r w:rsidRPr="00B35BCE">
        <w:rPr>
          <w:i/>
        </w:rPr>
        <w:t xml:space="preserve">“future national capability in Cyber-Physical Infrastructure to </w:t>
      </w:r>
      <w:r>
        <w:rPr>
          <w:i/>
        </w:rPr>
        <w:br/>
      </w:r>
      <w:r w:rsidRPr="00B35BCE">
        <w:rPr>
          <w:i/>
        </w:rPr>
        <w:t xml:space="preserve">promote </w:t>
      </w:r>
      <w:r w:rsidRPr="00B35BCE">
        <w:rPr>
          <w:i/>
        </w:rPr>
        <w:t>interoperability of tech tools and platforms”</w:t>
      </w:r>
    </w:p>
    <w:p w:rsidR="003316F0" w:rsidP="00700A36" w14:paraId="26245DF6" w14:textId="77777777">
      <w:pPr>
        <w:pStyle w:val="NoSpacing"/>
      </w:pPr>
      <w:r>
        <w:t>•</w:t>
      </w:r>
      <w:r>
        <w:tab/>
        <w:t xml:space="preserve">The Govt will establish a new Business Innovation forum </w:t>
      </w:r>
    </w:p>
    <w:p w:rsidR="00B07711" w:rsidP="00700A36" w14:paraId="5C3578DD" w14:textId="77777777">
      <w:pPr>
        <w:pStyle w:val="NoSpacing"/>
      </w:pPr>
      <w:r>
        <w:t>•</w:t>
      </w:r>
      <w:r>
        <w:tab/>
        <w:t>The Govt will create an Office for Science and Technology Strategy.</w:t>
      </w:r>
    </w:p>
    <w:p w:rsidR="003316F0" w:rsidP="00700A36" w14:paraId="0A6A8F9A" w14:textId="77777777">
      <w:pPr>
        <w:pStyle w:val="NoSpacing"/>
      </w:pPr>
      <w:r>
        <w:t>•</w:t>
      </w:r>
      <w:r>
        <w:tab/>
        <w:t xml:space="preserve">There will be focus on high growth sectors with sector visions </w:t>
      </w:r>
    </w:p>
    <w:p w:rsidR="006D27BE" w:rsidP="00700A36" w14:paraId="3513CE34" w14:textId="77777777">
      <w:pPr>
        <w:pStyle w:val="NoSpacing"/>
      </w:pPr>
      <w:r>
        <w:t>•</w:t>
      </w:r>
      <w:r>
        <w:tab/>
        <w:t>The Govt will</w:t>
      </w:r>
      <w:r>
        <w:t xml:space="preserve"> publish a National Cyber Strategy in the next 12 months</w:t>
      </w:r>
    </w:p>
    <w:p w:rsidR="00700A36" w:rsidP="00700A36" w14:paraId="53DA70C3" w14:textId="77777777">
      <w:pPr>
        <w:pStyle w:val="NoSpacing"/>
      </w:pPr>
    </w:p>
    <w:p w:rsidR="009025F4" w:rsidP="006D27BE" w14:paraId="7E24DACD" w14:textId="77777777">
      <w:pPr>
        <w:rPr>
          <w:b/>
        </w:rPr>
      </w:pPr>
      <w:r w:rsidRPr="0076702B">
        <w:rPr>
          <w:b/>
        </w:rPr>
        <w:t>Way Forward</w:t>
      </w:r>
    </w:p>
    <w:p w:rsidR="007D7879" w:rsidP="0084386E" w14:paraId="66EAF53D" w14:textId="77777777">
      <w:r>
        <w:t>F</w:t>
      </w:r>
      <w:r w:rsidR="001B7170">
        <w:t>u</w:t>
      </w:r>
      <w:r w:rsidR="003447FE">
        <w:t>rther development of the LEP Innovation Strategy</w:t>
      </w:r>
      <w:r w:rsidR="00F230C7">
        <w:t xml:space="preserve"> will feed into the</w:t>
      </w:r>
      <w:r w:rsidR="001B7170">
        <w:t xml:space="preserve"> process of</w:t>
      </w:r>
      <w:r w:rsidR="00F230C7">
        <w:t xml:space="preserve"> refresh</w:t>
      </w:r>
      <w:r w:rsidR="001B7170">
        <w:t>ing the Lancashire</w:t>
      </w:r>
      <w:r w:rsidR="00F230C7">
        <w:t xml:space="preserve"> Innovation Plan as well as</w:t>
      </w:r>
      <w:r w:rsidR="00071045">
        <w:t xml:space="preserve"> help the Board to</w:t>
      </w:r>
      <w:r w:rsidR="00A70211">
        <w:t xml:space="preserve"> </w:t>
      </w:r>
      <w:r w:rsidR="00474F83">
        <w:t>position</w:t>
      </w:r>
      <w:r w:rsidR="00071045">
        <w:t xml:space="preserve"> cluster-</w:t>
      </w:r>
      <w:r w:rsidR="0008480F">
        <w:t>based deals that respond</w:t>
      </w:r>
      <w:r w:rsidR="00A70211">
        <w:t xml:space="preserve"> to the UK Innovation Strategy. </w:t>
      </w:r>
      <w:r w:rsidR="005816F8">
        <w:t>It is envisaged this will lead to developing</w:t>
      </w:r>
      <w:r w:rsidR="00BA1D05">
        <w:t xml:space="preserve"> a detailed action </w:t>
      </w:r>
      <w:r w:rsidR="0008480F">
        <w:t xml:space="preserve">plan </w:t>
      </w:r>
      <w:r w:rsidR="00BA1D05">
        <w:t>and co-creat</w:t>
      </w:r>
      <w:r w:rsidR="00D17E20">
        <w:t>ing</w:t>
      </w:r>
      <w:r w:rsidR="00BA1D05">
        <w:t xml:space="preserve"> </w:t>
      </w:r>
      <w:r w:rsidR="00A70211">
        <w:t>propositions</w:t>
      </w:r>
      <w:r w:rsidR="0008480F">
        <w:t xml:space="preserve"> for key locations in the LEP</w:t>
      </w:r>
      <w:r w:rsidR="00883624">
        <w:t xml:space="preserve"> geography.</w:t>
      </w:r>
      <w:r w:rsidR="00D17E20">
        <w:t xml:space="preserve"> </w:t>
      </w:r>
    </w:p>
    <w:p w:rsidR="0084386E" w:rsidP="0084386E" w14:paraId="5ECF0E48" w14:textId="77777777">
      <w:r>
        <w:t xml:space="preserve">A separate paper will be presented on </w:t>
      </w:r>
      <w:r w:rsidR="009D02D2">
        <w:t xml:space="preserve">the Innovation Plan refresh </w:t>
      </w:r>
      <w:r w:rsidR="00042141">
        <w:t>followed by two</w:t>
      </w:r>
      <w:r w:rsidR="009D02D2">
        <w:t xml:space="preserve"> workshops being arranged</w:t>
      </w:r>
      <w:r w:rsidR="00142B2C">
        <w:t xml:space="preserve"> for board members</w:t>
      </w:r>
      <w:r w:rsidR="00A65D80">
        <w:t xml:space="preserve"> so that the wider issues can be incorporated into a new action plan</w:t>
      </w:r>
      <w:r w:rsidR="00D456EB">
        <w:t>.</w:t>
      </w:r>
      <w:r w:rsidR="00602308">
        <w:t xml:space="preserve"> </w:t>
      </w:r>
    </w:p>
    <w:p w:rsidR="00A87108" w:rsidP="006D27BE" w14:paraId="4863DA4A" w14:textId="77777777"/>
    <w:p w:rsidR="00A87108" w:rsidRPr="00A70211" w:rsidP="006D27BE" w14:paraId="39BA2592" w14:textId="77777777">
      <w:r>
        <w:t xml:space="preserve"> </w:t>
      </w:r>
    </w:p>
    <w:sectPr w:rsidSect="003C474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9AB12D6"/>
    <w:multiLevelType w:val="hybridMultilevel"/>
    <w:tmpl w:val="4B7093D0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24E02"/>
    <w:multiLevelType w:val="hybridMultilevel"/>
    <w:tmpl w:val="2E90C928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AE"/>
    <w:rsid w:val="0003671A"/>
    <w:rsid w:val="00042141"/>
    <w:rsid w:val="00071045"/>
    <w:rsid w:val="0008480F"/>
    <w:rsid w:val="00084F17"/>
    <w:rsid w:val="0008719D"/>
    <w:rsid w:val="000B2AB2"/>
    <w:rsid w:val="000C376E"/>
    <w:rsid w:val="000D679F"/>
    <w:rsid w:val="000E665E"/>
    <w:rsid w:val="000F2FB9"/>
    <w:rsid w:val="00116010"/>
    <w:rsid w:val="001322AE"/>
    <w:rsid w:val="00137DBB"/>
    <w:rsid w:val="00142B2C"/>
    <w:rsid w:val="00150ABD"/>
    <w:rsid w:val="00175F78"/>
    <w:rsid w:val="0018304B"/>
    <w:rsid w:val="001B7170"/>
    <w:rsid w:val="001D1B95"/>
    <w:rsid w:val="00204359"/>
    <w:rsid w:val="00230AF8"/>
    <w:rsid w:val="002475C1"/>
    <w:rsid w:val="002D0CFC"/>
    <w:rsid w:val="002E36F9"/>
    <w:rsid w:val="003316F0"/>
    <w:rsid w:val="003338BB"/>
    <w:rsid w:val="003447FE"/>
    <w:rsid w:val="00357912"/>
    <w:rsid w:val="0036643C"/>
    <w:rsid w:val="003A5B74"/>
    <w:rsid w:val="003C4745"/>
    <w:rsid w:val="003D714E"/>
    <w:rsid w:val="003F3C92"/>
    <w:rsid w:val="003F6E78"/>
    <w:rsid w:val="00411D27"/>
    <w:rsid w:val="004124E5"/>
    <w:rsid w:val="00412C70"/>
    <w:rsid w:val="0045002C"/>
    <w:rsid w:val="00461ED8"/>
    <w:rsid w:val="00474F83"/>
    <w:rsid w:val="00481947"/>
    <w:rsid w:val="004A090E"/>
    <w:rsid w:val="004C6F93"/>
    <w:rsid w:val="004D664B"/>
    <w:rsid w:val="005121FA"/>
    <w:rsid w:val="00521E3E"/>
    <w:rsid w:val="005322E2"/>
    <w:rsid w:val="005417BA"/>
    <w:rsid w:val="005816F8"/>
    <w:rsid w:val="005B099A"/>
    <w:rsid w:val="00602308"/>
    <w:rsid w:val="006070D9"/>
    <w:rsid w:val="006169A8"/>
    <w:rsid w:val="0063700C"/>
    <w:rsid w:val="006760B7"/>
    <w:rsid w:val="00681BA2"/>
    <w:rsid w:val="00686848"/>
    <w:rsid w:val="006908B7"/>
    <w:rsid w:val="00696331"/>
    <w:rsid w:val="006C3A19"/>
    <w:rsid w:val="006C5499"/>
    <w:rsid w:val="006D19C8"/>
    <w:rsid w:val="006D27BE"/>
    <w:rsid w:val="00700961"/>
    <w:rsid w:val="00700A36"/>
    <w:rsid w:val="00724F73"/>
    <w:rsid w:val="0073203F"/>
    <w:rsid w:val="00737A5E"/>
    <w:rsid w:val="0074689F"/>
    <w:rsid w:val="00757863"/>
    <w:rsid w:val="0076702B"/>
    <w:rsid w:val="00770227"/>
    <w:rsid w:val="00795430"/>
    <w:rsid w:val="007A16E8"/>
    <w:rsid w:val="007A61DB"/>
    <w:rsid w:val="007D7879"/>
    <w:rsid w:val="007F1EFF"/>
    <w:rsid w:val="007F6D8E"/>
    <w:rsid w:val="00806831"/>
    <w:rsid w:val="00815DEA"/>
    <w:rsid w:val="0084386E"/>
    <w:rsid w:val="008445AD"/>
    <w:rsid w:val="00883624"/>
    <w:rsid w:val="00884D39"/>
    <w:rsid w:val="009025F4"/>
    <w:rsid w:val="00905282"/>
    <w:rsid w:val="00924F35"/>
    <w:rsid w:val="009340B3"/>
    <w:rsid w:val="009445AA"/>
    <w:rsid w:val="00961E8C"/>
    <w:rsid w:val="0097306E"/>
    <w:rsid w:val="009D02D2"/>
    <w:rsid w:val="00A10AF9"/>
    <w:rsid w:val="00A60075"/>
    <w:rsid w:val="00A65D80"/>
    <w:rsid w:val="00A70211"/>
    <w:rsid w:val="00A73A27"/>
    <w:rsid w:val="00A87108"/>
    <w:rsid w:val="00AA6B06"/>
    <w:rsid w:val="00AC333C"/>
    <w:rsid w:val="00AC7EE1"/>
    <w:rsid w:val="00B07711"/>
    <w:rsid w:val="00B35BCE"/>
    <w:rsid w:val="00B64D9B"/>
    <w:rsid w:val="00B75D0E"/>
    <w:rsid w:val="00B936C1"/>
    <w:rsid w:val="00BA1D05"/>
    <w:rsid w:val="00BA1E3C"/>
    <w:rsid w:val="00BB2332"/>
    <w:rsid w:val="00BD2E6B"/>
    <w:rsid w:val="00C07544"/>
    <w:rsid w:val="00C30682"/>
    <w:rsid w:val="00C41BE4"/>
    <w:rsid w:val="00C45AA0"/>
    <w:rsid w:val="00C61A02"/>
    <w:rsid w:val="00CA0DE2"/>
    <w:rsid w:val="00CC59FD"/>
    <w:rsid w:val="00D17E20"/>
    <w:rsid w:val="00D20783"/>
    <w:rsid w:val="00D36553"/>
    <w:rsid w:val="00D456EB"/>
    <w:rsid w:val="00D5562E"/>
    <w:rsid w:val="00D6456D"/>
    <w:rsid w:val="00D81A3D"/>
    <w:rsid w:val="00D83491"/>
    <w:rsid w:val="00DC21CA"/>
    <w:rsid w:val="00E11389"/>
    <w:rsid w:val="00E13A6F"/>
    <w:rsid w:val="00E211E4"/>
    <w:rsid w:val="00E37A45"/>
    <w:rsid w:val="00E44E45"/>
    <w:rsid w:val="00E7281B"/>
    <w:rsid w:val="00EA1B7F"/>
    <w:rsid w:val="00EA52F5"/>
    <w:rsid w:val="00EF16BF"/>
    <w:rsid w:val="00F17E52"/>
    <w:rsid w:val="00F230C7"/>
    <w:rsid w:val="00F27891"/>
    <w:rsid w:val="00F73C73"/>
    <w:rsid w:val="00F84B36"/>
    <w:rsid w:val="00F86B78"/>
    <w:rsid w:val="00FB37D1"/>
    <w:rsid w:val="00FB661E"/>
    <w:rsid w:val="00FC1862"/>
    <w:rsid w:val="00FC7CB8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AAFE78-294B-4427-BD72-708693A7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35"/>
    <w:pPr>
      <w:ind w:left="720"/>
      <w:contextualSpacing/>
    </w:pPr>
  </w:style>
  <w:style w:type="paragraph" w:styleId="NoSpacing">
    <w:name w:val="No Spacing"/>
    <w:uiPriority w:val="1"/>
    <w:qFormat/>
    <w:rsid w:val="00700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8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7" ma:contentTypeDescription="Create a new document." ma:contentTypeScope="" ma:versionID="1d5eec9fdee330892667689689d52a05">
  <xsd:schema xmlns:xsd="http://www.w3.org/2001/XMLSchema" xmlns:xs="http://www.w3.org/2001/XMLSchema" xmlns:p="http://schemas.microsoft.com/office/2006/metadata/properties" xmlns:ns3="eb36aaf7-c0ad-4e0a-93b7-c73b1e4a9621" targetNamespace="http://schemas.microsoft.com/office/2006/metadata/properties" ma:root="true" ma:fieldsID="00cd7346ce9c2833ba61610fb93d216c" ns3:_="">
    <xsd:import namespace="eb36aaf7-c0ad-4e0a-93b7-c73b1e4a9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AA3BF-FD1B-44BE-ACBC-F4ABFCB48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D5770-A018-4203-9E62-A5C7B5E83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6aaf7-c0ad-4e0a-93b7-c73b1e4a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6136A-D7F7-45ED-AB55-111310C0BD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Matthew (wrightmg)</dc:creator>
  <cp:lastModifiedBy>Neville, Mike</cp:lastModifiedBy>
  <cp:revision>36</cp:revision>
  <dcterms:created xsi:type="dcterms:W3CDTF">2021-08-23T11:46:00Z</dcterms:created>
  <dcterms:modified xsi:type="dcterms:W3CDTF">2021-08-26T09:06:00Z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